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51" w:rsidRDefault="009C4051" w:rsidP="009C4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</w:t>
      </w:r>
    </w:p>
    <w:p w:rsidR="009C4051" w:rsidRDefault="009C4051" w:rsidP="009C4051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051" w:rsidRDefault="009C4051" w:rsidP="009C4051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9C4051" w:rsidRDefault="009C4051" w:rsidP="009C4051">
      <w:pPr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C4051" w:rsidRDefault="009C4051" w:rsidP="009C4051">
      <w:pPr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:rsidR="009C4051" w:rsidRDefault="009C4051" w:rsidP="009C4051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>
        <w:rPr>
          <w:rFonts w:ascii="Times New Roman" w:hAnsi="Times New Roman" w:cs="Times New Roman"/>
          <w:sz w:val="24"/>
          <w:szCs w:val="21"/>
        </w:rPr>
        <w:t>5237 sayılı Türk Ceza Kanununun 165’inci maddesinde yer alan “</w:t>
      </w:r>
      <w:r>
        <w:rPr>
          <w:rFonts w:ascii="Times New Roman" w:hAnsi="Times New Roman" w:cs="Times New Roman"/>
          <w:i/>
          <w:sz w:val="24"/>
          <w:szCs w:val="21"/>
        </w:rPr>
        <w:t xml:space="preserve">Bir suçun işlenmesiyle elde edilen eşyayı veya diğer malvarlığı değerini, bu suçun işlenmesine iştirak etmeksizin, satan, devreden, satın alan veya kabul eden kişi, altı aydan üç yıla kadar hapis ve </w:t>
      </w:r>
      <w:proofErr w:type="spellStart"/>
      <w:r>
        <w:rPr>
          <w:rFonts w:ascii="Times New Roman" w:hAnsi="Times New Roman" w:cs="Times New Roman"/>
          <w:i/>
          <w:sz w:val="24"/>
          <w:szCs w:val="21"/>
        </w:rPr>
        <w:t>onbin</w:t>
      </w:r>
      <w:proofErr w:type="spellEnd"/>
      <w:r>
        <w:rPr>
          <w:rFonts w:ascii="Times New Roman" w:hAnsi="Times New Roman" w:cs="Times New Roman"/>
          <w:i/>
          <w:sz w:val="24"/>
          <w:szCs w:val="21"/>
        </w:rPr>
        <w:t xml:space="preserve"> güne kadar adlî para cezası ile cezalandırılır.</w:t>
      </w:r>
      <w:r>
        <w:rPr>
          <w:rFonts w:ascii="Times New Roman" w:hAnsi="Times New Roman" w:cs="Times New Roman"/>
          <w:sz w:val="24"/>
          <w:szCs w:val="21"/>
        </w:rPr>
        <w:t>” hükmü ile suç eşyasının satın alınması veya kabul edilmesi halinde uygulanacak müeyyideye ilişkin husus düzenlenmiştir.</w:t>
      </w:r>
      <w:proofErr w:type="gramEnd"/>
    </w:p>
    <w:p w:rsidR="009C4051" w:rsidRDefault="009C4051" w:rsidP="009C4051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1"/>
        </w:rPr>
        <w:t>Bu kapsamda; hurda ve ikinci el eşya alım/satımı yapan iş yeri/işletmemizin f</w:t>
      </w:r>
      <w:r>
        <w:rPr>
          <w:rFonts w:ascii="Times New Roman" w:hAnsi="Times New Roman" w:cs="Times New Roman"/>
          <w:sz w:val="24"/>
          <w:szCs w:val="24"/>
        </w:rPr>
        <w:t>aaliyet alanı içerisinde işletme sahibi ve/veya çalışanlarımız tarafından;</w:t>
      </w:r>
    </w:p>
    <w:p w:rsidR="009C4051" w:rsidRDefault="009C4051" w:rsidP="009C4051">
      <w:pPr>
        <w:pStyle w:val="ListeParagraf"/>
        <w:numPr>
          <w:ilvl w:val="0"/>
          <w:numId w:val="1"/>
        </w:numPr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Hırsızlığa konu eşya/malzemenin alım/satımının yapılmayacağını, </w:t>
      </w:r>
    </w:p>
    <w:p w:rsidR="009C4051" w:rsidRDefault="009C4051" w:rsidP="009C4051">
      <w:pPr>
        <w:pStyle w:val="ListeParagraf"/>
        <w:numPr>
          <w:ilvl w:val="0"/>
          <w:numId w:val="1"/>
        </w:numPr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El Malzeme Alım Satım Belgesi düzenleneceğini,</w:t>
      </w:r>
    </w:p>
    <w:p w:rsidR="009C4051" w:rsidRDefault="009C4051" w:rsidP="009C4051">
      <w:pPr>
        <w:pStyle w:val="ListeParagraf"/>
        <w:numPr>
          <w:ilvl w:val="0"/>
          <w:numId w:val="1"/>
        </w:numPr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Alım ve satım işlemleri esnasında fatura/belge ve kimlik bilgileri ibrazının talep edileceğini, </w:t>
      </w:r>
    </w:p>
    <w:p w:rsidR="009C4051" w:rsidRDefault="009C4051" w:rsidP="009C4051">
      <w:pPr>
        <w:pStyle w:val="ListeParagraf"/>
        <w:numPr>
          <w:ilvl w:val="0"/>
          <w:numId w:val="1"/>
        </w:numPr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Hırsızlık malı olduğu değerlendirilen eşya/malzeme ile satışını yapmak isteyen kişi hakkında kolluk birimine haber verileceğini,</w:t>
      </w:r>
    </w:p>
    <w:p w:rsidR="009C4051" w:rsidRDefault="009C4051" w:rsidP="009C4051">
      <w:pPr>
        <w:pStyle w:val="ListeParagraf"/>
        <w:numPr>
          <w:ilvl w:val="0"/>
          <w:numId w:val="1"/>
        </w:numPr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kamera ve kayıt sisteminin çalışır vaziyette bulundurulacağını,</w:t>
      </w:r>
    </w:p>
    <w:p w:rsidR="009C4051" w:rsidRDefault="009C4051" w:rsidP="009C4051">
      <w:pPr>
        <w:pStyle w:val="ListeParagraf"/>
        <w:numPr>
          <w:ilvl w:val="0"/>
          <w:numId w:val="1"/>
        </w:numPr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1"/>
        </w:rPr>
        <w:t>18 yaşından küçük kişilere hiçbir surette alım/satım işlemi yapılmayacağını,</w:t>
      </w:r>
    </w:p>
    <w:p w:rsidR="009C4051" w:rsidRDefault="009C4051" w:rsidP="009C4051">
      <w:pPr>
        <w:pStyle w:val="ListeParagraf"/>
        <w:spacing w:before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 ederim.</w:t>
      </w:r>
    </w:p>
    <w:p w:rsidR="009C4051" w:rsidRDefault="009C4051" w:rsidP="009C4051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İş bu taahhütnamede belirtilen hususlar tarafıma anlatılmış olup, aksi davranışlarda bulunulduğu takdirde hakkımda yasal işlem yapılacağı hususu …/…/</w:t>
      </w:r>
      <w:proofErr w:type="gramStart"/>
      <w:r>
        <w:rPr>
          <w:rFonts w:ascii="Times New Roman" w:hAnsi="Times New Roman" w:cs="Times New Roman"/>
          <w:sz w:val="24"/>
          <w:szCs w:val="21"/>
        </w:rPr>
        <w:t>….</w:t>
      </w:r>
      <w:proofErr w:type="gramEnd"/>
      <w:r>
        <w:rPr>
          <w:rFonts w:ascii="Times New Roman" w:hAnsi="Times New Roman" w:cs="Times New Roman"/>
          <w:sz w:val="24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1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1"/>
        </w:rPr>
        <w:t xml:space="preserve"> tebliğ edilmiştir.</w:t>
      </w:r>
    </w:p>
    <w:p w:rsidR="009C4051" w:rsidRDefault="009C4051" w:rsidP="009C4051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</w:p>
    <w:p w:rsidR="009C4051" w:rsidRDefault="009C4051" w:rsidP="009C4051">
      <w:pPr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4531"/>
      </w:tblGrid>
      <w:tr w:rsidR="009C4051" w:rsidTr="00EE7A8E">
        <w:tc>
          <w:tcPr>
            <w:tcW w:w="2122" w:type="dxa"/>
            <w:hideMark/>
          </w:tcPr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TEBLİĞ EDEN</w:t>
            </w:r>
          </w:p>
        </w:tc>
        <w:tc>
          <w:tcPr>
            <w:tcW w:w="2409" w:type="dxa"/>
            <w:hideMark/>
          </w:tcPr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HAZIRUN</w:t>
            </w:r>
          </w:p>
        </w:tc>
        <w:tc>
          <w:tcPr>
            <w:tcW w:w="4531" w:type="dxa"/>
            <w:hideMark/>
          </w:tcPr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TEBELLÜĞ ve TAAHHÜT EDEN</w:t>
            </w:r>
          </w:p>
        </w:tc>
      </w:tr>
      <w:tr w:rsidR="009C4051" w:rsidTr="00EE7A8E">
        <w:tc>
          <w:tcPr>
            <w:tcW w:w="2122" w:type="dxa"/>
          </w:tcPr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2409" w:type="dxa"/>
          </w:tcPr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4531" w:type="dxa"/>
          </w:tcPr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(Kişi ve iş yeri bilgileri belirtilecektir.)</w:t>
            </w:r>
          </w:p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(KAŞE)</w:t>
            </w:r>
          </w:p>
          <w:p w:rsidR="009C4051" w:rsidRDefault="009C4051" w:rsidP="00EE7A8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</w:tbl>
    <w:p w:rsidR="00DA2699" w:rsidRDefault="00DA2699">
      <w:bookmarkStart w:id="0" w:name="_GoBack"/>
      <w:bookmarkEnd w:id="0"/>
    </w:p>
    <w:sectPr w:rsidR="00DA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4D6"/>
    <w:multiLevelType w:val="hybridMultilevel"/>
    <w:tmpl w:val="205E260E"/>
    <w:lvl w:ilvl="0" w:tplc="07F49148">
      <w:start w:val="523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0E"/>
    <w:rsid w:val="005A760E"/>
    <w:rsid w:val="009C4051"/>
    <w:rsid w:val="00D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634E-B9A1-4993-A94A-5BE15A1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5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39"/>
    <w:rsid w:val="009C405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evbim</dc:creator>
  <cp:keywords/>
  <dc:description/>
  <cp:lastModifiedBy>evbim</cp:lastModifiedBy>
  <cp:revision>2</cp:revision>
  <dcterms:created xsi:type="dcterms:W3CDTF">2022-03-14T10:28:00Z</dcterms:created>
  <dcterms:modified xsi:type="dcterms:W3CDTF">2022-03-14T10:28:00Z</dcterms:modified>
</cp:coreProperties>
</file>