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985"/>
        <w:gridCol w:w="1417"/>
        <w:gridCol w:w="1276"/>
      </w:tblGrid>
      <w:tr w:rsidR="00DA18D0" w14:paraId="7941BBB9" w14:textId="77777777" w:rsidTr="00C86180">
        <w:trPr>
          <w:trHeight w:val="672"/>
        </w:trPr>
        <w:tc>
          <w:tcPr>
            <w:tcW w:w="567" w:type="dxa"/>
          </w:tcPr>
          <w:p w14:paraId="24540940" w14:textId="6440C139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A806DD" w14:textId="77777777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94A">
              <w:rPr>
                <w:rFonts w:ascii="Times New Roman" w:hAnsi="Times New Roman" w:cs="Times New Roman"/>
                <w:b/>
              </w:rPr>
              <w:t>NO</w:t>
            </w:r>
          </w:p>
          <w:p w14:paraId="73D45D9E" w14:textId="424D2367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6635C80" w14:textId="77777777" w:rsidR="00C86180" w:rsidRDefault="00C8618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</w:p>
          <w:p w14:paraId="35186777" w14:textId="68DD21B7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161616"/>
              </w:rPr>
              <w:t>İDARİ İŞLEMLER</w:t>
            </w:r>
          </w:p>
        </w:tc>
        <w:tc>
          <w:tcPr>
            <w:tcW w:w="2693" w:type="dxa"/>
          </w:tcPr>
          <w:p w14:paraId="7695FFB2" w14:textId="77777777" w:rsidR="00DA18D0" w:rsidRPr="00DA18D0" w:rsidRDefault="00DA18D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  <w:sz w:val="12"/>
              </w:rPr>
            </w:pPr>
          </w:p>
          <w:p w14:paraId="311E5CBD" w14:textId="2CA5FADF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>MEVCUT DURUM</w:t>
            </w:r>
          </w:p>
          <w:p w14:paraId="494CFD8A" w14:textId="77D564CB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>(AYLIK VEYA YILLIK)</w:t>
            </w:r>
          </w:p>
        </w:tc>
        <w:tc>
          <w:tcPr>
            <w:tcW w:w="1985" w:type="dxa"/>
          </w:tcPr>
          <w:p w14:paraId="305449F5" w14:textId="77777777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HEDEFLERDEN SAPMA </w:t>
            </w:r>
          </w:p>
          <w:p w14:paraId="29A77817" w14:textId="5366F866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>NEDENİ</w:t>
            </w:r>
          </w:p>
        </w:tc>
        <w:tc>
          <w:tcPr>
            <w:tcW w:w="1417" w:type="dxa"/>
          </w:tcPr>
          <w:p w14:paraId="74339FE5" w14:textId="3D4F4620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  <w:sz w:val="10"/>
              </w:rPr>
            </w:pPr>
          </w:p>
          <w:p w14:paraId="25421111" w14:textId="77777777" w:rsidR="000C476C" w:rsidRPr="00C86180" w:rsidRDefault="000C476C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  <w:sz w:val="10"/>
              </w:rPr>
            </w:pPr>
          </w:p>
          <w:p w14:paraId="18B6E5D8" w14:textId="0BD31EBF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SORUMLU </w:t>
            </w:r>
          </w:p>
        </w:tc>
        <w:tc>
          <w:tcPr>
            <w:tcW w:w="1276" w:type="dxa"/>
          </w:tcPr>
          <w:p w14:paraId="166C5762" w14:textId="77777777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</w:p>
          <w:p w14:paraId="3B9C60FE" w14:textId="78209E78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>İMZA</w:t>
            </w:r>
          </w:p>
        </w:tc>
      </w:tr>
      <w:tr w:rsidR="00DA18D0" w14:paraId="5E843B67" w14:textId="77777777" w:rsidTr="00C86180">
        <w:trPr>
          <w:trHeight w:val="1462"/>
        </w:trPr>
        <w:tc>
          <w:tcPr>
            <w:tcW w:w="567" w:type="dxa"/>
          </w:tcPr>
          <w:p w14:paraId="1851CE18" w14:textId="77777777" w:rsidR="00DA18D0" w:rsidRDefault="00DA18D0" w:rsidP="00281D90">
            <w:pPr>
              <w:jc w:val="center"/>
              <w:rPr>
                <w:rFonts w:ascii="Times New Roman" w:hAnsi="Times New Roman" w:cs="Times New Roman"/>
                <w:bCs/>
                <w:color w:val="161616"/>
              </w:rPr>
            </w:pPr>
          </w:p>
          <w:p w14:paraId="36CAECEB" w14:textId="77777777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  <w:bCs/>
                <w:color w:val="161616"/>
                <w:sz w:val="16"/>
              </w:rPr>
            </w:pPr>
          </w:p>
          <w:p w14:paraId="69CBA509" w14:textId="0F6F2AD5" w:rsidR="00DA18D0" w:rsidRPr="00281D90" w:rsidRDefault="00DA18D0" w:rsidP="00281D90">
            <w:pPr>
              <w:jc w:val="center"/>
            </w:pPr>
            <w:r w:rsidRPr="00C86180">
              <w:rPr>
                <w:rFonts w:ascii="Times New Roman" w:hAnsi="Times New Roman" w:cs="Times New Roman"/>
                <w:bCs/>
                <w:color w:val="161616"/>
                <w:sz w:val="24"/>
              </w:rPr>
              <w:t>01</w:t>
            </w:r>
          </w:p>
        </w:tc>
        <w:tc>
          <w:tcPr>
            <w:tcW w:w="2552" w:type="dxa"/>
          </w:tcPr>
          <w:p w14:paraId="44873BC9" w14:textId="151A5AE7" w:rsidR="00DA18D0" w:rsidRPr="00281D90" w:rsidRDefault="00DA18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1D9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Eğitim, toplantı ve denetim programlarını takvime uygun olarak gerçekleşti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r</w:t>
            </w:r>
            <w:r w:rsidR="00C861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ip alınan kararlara riayet etmek. </w:t>
            </w:r>
          </w:p>
        </w:tc>
        <w:tc>
          <w:tcPr>
            <w:tcW w:w="2693" w:type="dxa"/>
          </w:tcPr>
          <w:p w14:paraId="664DD038" w14:textId="74AC7C2B" w:rsidR="00DA18D0" w:rsidRDefault="000C476C">
            <w:r>
              <w:t xml:space="preserve">Resmi Yazışma Kuralları, Sunuculuk Eğitimi, Kuran Kursu Denetimleri, Kurum Denetimleri ve diğer idari işlemler aylık planlara uygun olarak sonuçlandırılmıştır, </w:t>
            </w:r>
            <w:r w:rsidR="00F51B40">
              <w:t>Yılın i</w:t>
            </w:r>
            <w:r>
              <w:t xml:space="preserve">lk </w:t>
            </w:r>
            <w:r w:rsidR="00F51B40">
              <w:t>altı</w:t>
            </w:r>
            <w:r>
              <w:t xml:space="preserve"> ayında </w:t>
            </w:r>
            <w:r w:rsidR="00F51B40">
              <w:t>iki</w:t>
            </w:r>
            <w:r>
              <w:t xml:space="preserve"> </w:t>
            </w:r>
            <w:r w:rsidR="00F51B40">
              <w:t>kez</w:t>
            </w:r>
            <w:r>
              <w:t xml:space="preserve"> İl İdare Şube Başkanları Toplantısı yapılmış olup yıl sonuna kadar en az 2 toplantı daha yapılması hedeflenmektedir.</w:t>
            </w:r>
            <w:r w:rsidR="00F51B40">
              <w:t xml:space="preserve"> İl Koordinasyon Kurulu ve İl Ekonomi Toplantısı üçer aylık periyotlara uygun gerçekleştirilmektedir.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5239E629" w14:textId="0F8A1EBB" w:rsidR="00DA18D0" w:rsidRDefault="000C476C">
            <w:r>
              <w:t>Mart ayında yapılması beklenen sunuculuk eğitimi Ramazan dolayısıyla Nisan ayında yapılmıştır.</w:t>
            </w:r>
          </w:p>
        </w:tc>
        <w:tc>
          <w:tcPr>
            <w:tcW w:w="1417" w:type="dxa"/>
          </w:tcPr>
          <w:p w14:paraId="4F75D850" w14:textId="77777777" w:rsidR="000C476C" w:rsidRDefault="000C476C" w:rsidP="000C476C">
            <w:pPr>
              <w:jc w:val="center"/>
            </w:pPr>
          </w:p>
          <w:p w14:paraId="3178C8C0" w14:textId="77777777" w:rsidR="000C476C" w:rsidRDefault="000C476C" w:rsidP="000C476C">
            <w:pPr>
              <w:jc w:val="center"/>
            </w:pPr>
          </w:p>
          <w:p w14:paraId="628CFB33" w14:textId="77777777" w:rsidR="000C476C" w:rsidRDefault="000C476C" w:rsidP="000C476C">
            <w:pPr>
              <w:jc w:val="center"/>
            </w:pPr>
          </w:p>
          <w:p w14:paraId="37915434" w14:textId="77777777" w:rsidR="000C476C" w:rsidRDefault="000C476C" w:rsidP="000C476C">
            <w:pPr>
              <w:jc w:val="center"/>
            </w:pPr>
          </w:p>
          <w:p w14:paraId="18A6D08D" w14:textId="77777777" w:rsidR="000C476C" w:rsidRDefault="000C476C" w:rsidP="000C476C">
            <w:pPr>
              <w:jc w:val="center"/>
            </w:pPr>
          </w:p>
          <w:p w14:paraId="123F895D" w14:textId="5D581EEA" w:rsidR="00DA18D0" w:rsidRDefault="000C476C" w:rsidP="000C476C">
            <w:pPr>
              <w:jc w:val="center"/>
            </w:pPr>
            <w:r>
              <w:t>Valilik</w:t>
            </w:r>
          </w:p>
        </w:tc>
        <w:tc>
          <w:tcPr>
            <w:tcW w:w="1276" w:type="dxa"/>
          </w:tcPr>
          <w:p w14:paraId="2A857FCA" w14:textId="77777777" w:rsidR="00DA18D0" w:rsidRDefault="00DA18D0"/>
        </w:tc>
      </w:tr>
      <w:tr w:rsidR="00DA18D0" w14:paraId="43F81987" w14:textId="77777777" w:rsidTr="00C86180">
        <w:trPr>
          <w:trHeight w:val="1408"/>
        </w:trPr>
        <w:tc>
          <w:tcPr>
            <w:tcW w:w="567" w:type="dxa"/>
          </w:tcPr>
          <w:p w14:paraId="07CE6039" w14:textId="77777777" w:rsidR="00DA18D0" w:rsidRDefault="00DA18D0" w:rsidP="00281D90">
            <w:pPr>
              <w:jc w:val="center"/>
            </w:pPr>
          </w:p>
          <w:p w14:paraId="1A28C681" w14:textId="77777777" w:rsidR="00DA18D0" w:rsidRDefault="00DA18D0" w:rsidP="00DA18D0"/>
          <w:p w14:paraId="11E7C227" w14:textId="0C7907B1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552" w:type="dxa"/>
          </w:tcPr>
          <w:p w14:paraId="030FFC95" w14:textId="4816C24A" w:rsidR="00DA18D0" w:rsidRPr="00281D90" w:rsidRDefault="009834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Mevzuat ve KYS bilinci doğrultusunda </w:t>
            </w:r>
            <w:r w:rsidR="00DA18D0" w:rsidRPr="00281D9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İç Tetkik Planı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’na göre</w:t>
            </w:r>
            <w:r w:rsidR="00DA18D0" w:rsidRPr="00281D9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tetkik faaliyeti düzenlemek ve YGG Toplantısı yapmak</w:t>
            </w:r>
            <w:r w:rsidR="00ED76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3DD36E4B" w14:textId="0EC5DA18" w:rsidR="00DA18D0" w:rsidRDefault="00A857CF">
            <w:r>
              <w:t>Yıllık hedef olarak belirlenen iç tetkik faaliyeti planlanan ayda aksaklığa meydan vermeksizin sonuçlandırılmış olup faaliyet öncesi ilgili tüm birim ve kurumlar KYS anlayışı doğrultusunda doğru yönlendirilmiştir.</w:t>
            </w:r>
          </w:p>
        </w:tc>
        <w:tc>
          <w:tcPr>
            <w:tcW w:w="1985" w:type="dxa"/>
          </w:tcPr>
          <w:p w14:paraId="733AFA0D" w14:textId="77777777" w:rsidR="00DA18D0" w:rsidRDefault="00DA18D0"/>
        </w:tc>
        <w:tc>
          <w:tcPr>
            <w:tcW w:w="1417" w:type="dxa"/>
          </w:tcPr>
          <w:p w14:paraId="28FC3A84" w14:textId="77777777" w:rsidR="00790690" w:rsidRDefault="00790690" w:rsidP="00790690">
            <w:pPr>
              <w:jc w:val="center"/>
            </w:pPr>
          </w:p>
          <w:p w14:paraId="7604243B" w14:textId="77777777" w:rsidR="00790690" w:rsidRDefault="00790690" w:rsidP="00790690">
            <w:pPr>
              <w:jc w:val="center"/>
            </w:pPr>
          </w:p>
          <w:p w14:paraId="407444C2" w14:textId="77777777" w:rsidR="00790690" w:rsidRDefault="00790690" w:rsidP="00790690">
            <w:pPr>
              <w:jc w:val="center"/>
            </w:pPr>
          </w:p>
          <w:p w14:paraId="62209AD8" w14:textId="77777777" w:rsidR="00790690" w:rsidRDefault="00790690" w:rsidP="00790690">
            <w:pPr>
              <w:jc w:val="center"/>
            </w:pPr>
          </w:p>
          <w:p w14:paraId="3897B783" w14:textId="477EAF87" w:rsidR="00DA18D0" w:rsidRDefault="00790690" w:rsidP="00790690">
            <w:pPr>
              <w:jc w:val="center"/>
            </w:pPr>
            <w:r>
              <w:t>Valilik</w:t>
            </w:r>
          </w:p>
        </w:tc>
        <w:tc>
          <w:tcPr>
            <w:tcW w:w="1276" w:type="dxa"/>
          </w:tcPr>
          <w:p w14:paraId="2F6800EC" w14:textId="77777777" w:rsidR="00DA18D0" w:rsidRDefault="00DA18D0"/>
        </w:tc>
      </w:tr>
      <w:tr w:rsidR="00DA18D0" w14:paraId="609674D0" w14:textId="77777777" w:rsidTr="00C86180">
        <w:trPr>
          <w:trHeight w:val="1967"/>
        </w:trPr>
        <w:tc>
          <w:tcPr>
            <w:tcW w:w="567" w:type="dxa"/>
          </w:tcPr>
          <w:p w14:paraId="14EA7B9C" w14:textId="77777777" w:rsidR="00DA18D0" w:rsidRDefault="00DA18D0" w:rsidP="00281D90">
            <w:pPr>
              <w:jc w:val="center"/>
            </w:pPr>
          </w:p>
          <w:p w14:paraId="1F9C5FA7" w14:textId="3D43C478" w:rsidR="00DA18D0" w:rsidRDefault="00DA18D0" w:rsidP="00281D90">
            <w:pPr>
              <w:jc w:val="center"/>
            </w:pPr>
          </w:p>
          <w:p w14:paraId="6BD516EB" w14:textId="77777777" w:rsidR="00C86180" w:rsidRDefault="00C86180" w:rsidP="00281D90">
            <w:pPr>
              <w:jc w:val="center"/>
            </w:pPr>
          </w:p>
          <w:p w14:paraId="1FF827F0" w14:textId="0294C028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552" w:type="dxa"/>
          </w:tcPr>
          <w:p w14:paraId="0E20D824" w14:textId="7A38FC36" w:rsidR="00DA18D0" w:rsidRPr="00281D90" w:rsidRDefault="00DA18D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1D90">
              <w:rPr>
                <w:rFonts w:ascii="Times New Roman" w:hAnsi="Times New Roman" w:cs="Times New Roman"/>
                <w:color w:val="000000" w:themeColor="text1"/>
                <w:sz w:val="24"/>
              </w:rPr>
              <w:t>Bina</w:t>
            </w:r>
            <w:r w:rsidR="00C861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bakımı</w:t>
            </w:r>
            <w:r w:rsidRPr="00281D90">
              <w:rPr>
                <w:rFonts w:ascii="Times New Roman" w:hAnsi="Times New Roman" w:cs="Times New Roman"/>
                <w:color w:val="000000" w:themeColor="text1"/>
                <w:sz w:val="24"/>
              </w:rPr>
              <w:t>, çalışma malzeme</w:t>
            </w:r>
            <w:r w:rsidR="00C861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si temini </w:t>
            </w:r>
            <w:r w:rsidRPr="00281D90">
              <w:rPr>
                <w:rFonts w:ascii="Times New Roman" w:hAnsi="Times New Roman" w:cs="Times New Roman"/>
                <w:color w:val="000000" w:themeColor="text1"/>
                <w:sz w:val="24"/>
              </w:rPr>
              <w:t>ve teknik bakım kontrolleri</w:t>
            </w:r>
            <w:r w:rsidR="00C86180">
              <w:rPr>
                <w:rFonts w:ascii="Times New Roman" w:hAnsi="Times New Roman" w:cs="Times New Roman"/>
                <w:color w:val="000000" w:themeColor="text1"/>
                <w:sz w:val="24"/>
              </w:rPr>
              <w:t>ni gerçekleştirmek. Teknolojik ve yasal gelişmeleri takip etmek</w:t>
            </w:r>
            <w:r w:rsidR="00ED768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15229813" w14:textId="77777777" w:rsidR="00DA18D0" w:rsidRDefault="00A857CF">
            <w:r>
              <w:t xml:space="preserve">Valilik binasının </w:t>
            </w:r>
            <w:r w:rsidR="00790690">
              <w:t xml:space="preserve">yıllık </w:t>
            </w:r>
            <w:r>
              <w:t xml:space="preserve">bakım ve onarım işleri </w:t>
            </w:r>
            <w:r w:rsidR="00790690">
              <w:t>gecikme yaşanmaksızın bitirilmiştir.</w:t>
            </w:r>
          </w:p>
          <w:p w14:paraId="43B28E9D" w14:textId="72397E48" w:rsidR="00790690" w:rsidRDefault="00790690">
            <w:proofErr w:type="gramStart"/>
            <w:r>
              <w:t>Resmi</w:t>
            </w:r>
            <w:proofErr w:type="gramEnd"/>
            <w:r>
              <w:t xml:space="preserve"> Gazete yayımları ve teknolojik etkinlik faaliyetleri takip edilip duyuruları aylık ve yıllık olarak yapılmıştır.</w:t>
            </w:r>
          </w:p>
        </w:tc>
        <w:tc>
          <w:tcPr>
            <w:tcW w:w="1985" w:type="dxa"/>
          </w:tcPr>
          <w:p w14:paraId="3415E7AA" w14:textId="77777777" w:rsidR="00DA18D0" w:rsidRDefault="00DA18D0"/>
        </w:tc>
        <w:tc>
          <w:tcPr>
            <w:tcW w:w="1417" w:type="dxa"/>
          </w:tcPr>
          <w:p w14:paraId="352C3E58" w14:textId="77777777" w:rsidR="00790690" w:rsidRDefault="00790690" w:rsidP="00790690">
            <w:pPr>
              <w:jc w:val="center"/>
            </w:pPr>
          </w:p>
          <w:p w14:paraId="7C76E9FF" w14:textId="77777777" w:rsidR="00790690" w:rsidRDefault="00790690" w:rsidP="00790690">
            <w:pPr>
              <w:jc w:val="center"/>
            </w:pPr>
          </w:p>
          <w:p w14:paraId="71BD5262" w14:textId="77777777" w:rsidR="00790690" w:rsidRDefault="00790690" w:rsidP="00790690">
            <w:pPr>
              <w:jc w:val="center"/>
            </w:pPr>
          </w:p>
          <w:p w14:paraId="47653B4D" w14:textId="78FBDF95" w:rsidR="00DA18D0" w:rsidRDefault="00790690" w:rsidP="00790690">
            <w:pPr>
              <w:jc w:val="center"/>
            </w:pPr>
            <w:r>
              <w:t>Valilik</w:t>
            </w:r>
          </w:p>
        </w:tc>
        <w:tc>
          <w:tcPr>
            <w:tcW w:w="1276" w:type="dxa"/>
          </w:tcPr>
          <w:p w14:paraId="11A0CAF3" w14:textId="77777777" w:rsidR="00DA18D0" w:rsidRDefault="00DA18D0"/>
        </w:tc>
      </w:tr>
      <w:tr w:rsidR="00DA18D0" w14:paraId="17F23652" w14:textId="77777777" w:rsidTr="00C86180">
        <w:trPr>
          <w:trHeight w:val="979"/>
        </w:trPr>
        <w:tc>
          <w:tcPr>
            <w:tcW w:w="567" w:type="dxa"/>
          </w:tcPr>
          <w:p w14:paraId="37F04A3C" w14:textId="5E8850E6" w:rsidR="00DA18D0" w:rsidRPr="00C86180" w:rsidRDefault="00DA18D0" w:rsidP="00281D90">
            <w:pPr>
              <w:jc w:val="center"/>
              <w:rPr>
                <w:sz w:val="12"/>
              </w:rPr>
            </w:pPr>
          </w:p>
          <w:p w14:paraId="2E94812A" w14:textId="77777777" w:rsidR="00C86180" w:rsidRPr="00C86180" w:rsidRDefault="00C86180" w:rsidP="00281D90">
            <w:pPr>
              <w:jc w:val="center"/>
              <w:rPr>
                <w:sz w:val="18"/>
              </w:rPr>
            </w:pPr>
          </w:p>
          <w:p w14:paraId="070C33AC" w14:textId="2EED1F07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552" w:type="dxa"/>
          </w:tcPr>
          <w:p w14:paraId="7A26F45E" w14:textId="59482AFC" w:rsidR="00DA18D0" w:rsidRPr="00281D90" w:rsidRDefault="00DA18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1D9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Riskleri tespit etmek ve gerekli iyileştirmeleri yapmak</w:t>
            </w:r>
            <w:r w:rsidR="00ED76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5A638E15" w14:textId="639C8460" w:rsidR="00DA18D0" w:rsidRDefault="00790690">
            <w:r>
              <w:t>Valiliğin birim ve kurumlarından elde edilen yıllık risk değerlendirmeleri için tablo oluşturulmuş olup sürekli iyileştirme anlayışıyla aylık ve yıllık olarak sonuçlar takip edilmektedir.</w:t>
            </w:r>
          </w:p>
        </w:tc>
        <w:tc>
          <w:tcPr>
            <w:tcW w:w="1985" w:type="dxa"/>
          </w:tcPr>
          <w:p w14:paraId="384E8F53" w14:textId="77777777" w:rsidR="00DA18D0" w:rsidRDefault="00DA18D0"/>
        </w:tc>
        <w:tc>
          <w:tcPr>
            <w:tcW w:w="1417" w:type="dxa"/>
          </w:tcPr>
          <w:p w14:paraId="503E72C6" w14:textId="77777777" w:rsidR="00790690" w:rsidRDefault="00790690" w:rsidP="00790690">
            <w:pPr>
              <w:jc w:val="center"/>
            </w:pPr>
          </w:p>
          <w:p w14:paraId="734701D4" w14:textId="77777777" w:rsidR="00790690" w:rsidRDefault="00790690" w:rsidP="00790690">
            <w:pPr>
              <w:jc w:val="center"/>
            </w:pPr>
          </w:p>
          <w:p w14:paraId="4D1C2FC7" w14:textId="77777777" w:rsidR="00790690" w:rsidRDefault="00790690" w:rsidP="00790690">
            <w:pPr>
              <w:jc w:val="center"/>
            </w:pPr>
          </w:p>
          <w:p w14:paraId="38DD38DF" w14:textId="061E2272" w:rsidR="00DA18D0" w:rsidRDefault="00790690" w:rsidP="00790690">
            <w:pPr>
              <w:jc w:val="center"/>
            </w:pPr>
            <w:r>
              <w:t>Valilik</w:t>
            </w:r>
          </w:p>
        </w:tc>
        <w:tc>
          <w:tcPr>
            <w:tcW w:w="1276" w:type="dxa"/>
          </w:tcPr>
          <w:p w14:paraId="19DB9510" w14:textId="77777777" w:rsidR="00DA18D0" w:rsidRDefault="00DA18D0"/>
        </w:tc>
      </w:tr>
      <w:tr w:rsidR="00DA18D0" w14:paraId="782D659C" w14:textId="77777777" w:rsidTr="00C86180">
        <w:trPr>
          <w:trHeight w:val="1542"/>
        </w:trPr>
        <w:tc>
          <w:tcPr>
            <w:tcW w:w="567" w:type="dxa"/>
          </w:tcPr>
          <w:p w14:paraId="794CAAA1" w14:textId="77777777" w:rsidR="00DA18D0" w:rsidRDefault="00DA18D0" w:rsidP="00281D90">
            <w:pPr>
              <w:jc w:val="center"/>
            </w:pPr>
          </w:p>
          <w:p w14:paraId="26795916" w14:textId="77777777" w:rsidR="00DA18D0" w:rsidRDefault="00DA18D0" w:rsidP="00281D90">
            <w:pPr>
              <w:jc w:val="center"/>
            </w:pPr>
          </w:p>
          <w:p w14:paraId="421AA169" w14:textId="0D3ADE93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552" w:type="dxa"/>
          </w:tcPr>
          <w:p w14:paraId="12AF06C6" w14:textId="2485B661" w:rsidR="00DA18D0" w:rsidRPr="00281D90" w:rsidRDefault="0098347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Tören, kutlama ve ağırlamalarda protokol düzenlerini sağlamak, Valilik birimlerinin iç düzenini gözetmek.</w:t>
            </w:r>
          </w:p>
        </w:tc>
        <w:tc>
          <w:tcPr>
            <w:tcW w:w="2693" w:type="dxa"/>
          </w:tcPr>
          <w:p w14:paraId="568A6978" w14:textId="1D08667B" w:rsidR="00DA18D0" w:rsidRDefault="00790690">
            <w:r>
              <w:t>Resmi ve dini günler için kutlama ve sosyal medya duyuruları aylık ve yıllık olarak eksiksiz bir şekilde yürütülmüştür. Vali Bey’in birimlere yönelik denetimleri yıl içerisinde planlara uygun olarak gerçekleştirilmiştir.</w:t>
            </w:r>
          </w:p>
        </w:tc>
        <w:tc>
          <w:tcPr>
            <w:tcW w:w="1985" w:type="dxa"/>
          </w:tcPr>
          <w:p w14:paraId="16FD114A" w14:textId="77777777" w:rsidR="00DA18D0" w:rsidRDefault="00DA18D0"/>
        </w:tc>
        <w:tc>
          <w:tcPr>
            <w:tcW w:w="1417" w:type="dxa"/>
          </w:tcPr>
          <w:p w14:paraId="77244CC6" w14:textId="77777777" w:rsidR="00F51B40" w:rsidRDefault="00F51B40" w:rsidP="00F51B40">
            <w:pPr>
              <w:jc w:val="center"/>
            </w:pPr>
          </w:p>
          <w:p w14:paraId="589F6A27" w14:textId="77777777" w:rsidR="00F51B40" w:rsidRDefault="00F51B40" w:rsidP="00F51B40">
            <w:pPr>
              <w:jc w:val="center"/>
            </w:pPr>
          </w:p>
          <w:p w14:paraId="148D5871" w14:textId="77777777" w:rsidR="00F51B40" w:rsidRDefault="00F51B40" w:rsidP="00F51B40">
            <w:pPr>
              <w:jc w:val="center"/>
            </w:pPr>
          </w:p>
          <w:p w14:paraId="0404CF20" w14:textId="77777777" w:rsidR="00F51B40" w:rsidRDefault="00F51B40" w:rsidP="00F51B40">
            <w:pPr>
              <w:jc w:val="center"/>
            </w:pPr>
          </w:p>
          <w:p w14:paraId="058CFE8E" w14:textId="0D86B61B" w:rsidR="00DA18D0" w:rsidRDefault="00F51B40" w:rsidP="00F51B40">
            <w:pPr>
              <w:jc w:val="center"/>
            </w:pPr>
            <w:r>
              <w:t>Valilik</w:t>
            </w:r>
          </w:p>
        </w:tc>
        <w:tc>
          <w:tcPr>
            <w:tcW w:w="1276" w:type="dxa"/>
          </w:tcPr>
          <w:p w14:paraId="0D0E49AF" w14:textId="77777777" w:rsidR="00DA18D0" w:rsidRDefault="00DA18D0"/>
        </w:tc>
      </w:tr>
      <w:tr w:rsidR="00C86180" w14:paraId="29240FE8" w14:textId="77777777" w:rsidTr="00C86180">
        <w:trPr>
          <w:trHeight w:val="1542"/>
        </w:trPr>
        <w:tc>
          <w:tcPr>
            <w:tcW w:w="567" w:type="dxa"/>
          </w:tcPr>
          <w:p w14:paraId="3C36F7D1" w14:textId="77777777" w:rsidR="00C86180" w:rsidRDefault="00C86180" w:rsidP="00281D90">
            <w:pPr>
              <w:jc w:val="center"/>
            </w:pPr>
          </w:p>
          <w:p w14:paraId="2C2C299C" w14:textId="77777777" w:rsidR="00C86180" w:rsidRPr="00C86180" w:rsidRDefault="00C86180" w:rsidP="00281D90">
            <w:pPr>
              <w:jc w:val="center"/>
              <w:rPr>
                <w:sz w:val="28"/>
              </w:rPr>
            </w:pPr>
          </w:p>
          <w:p w14:paraId="2221AB65" w14:textId="23CDE08C" w:rsidR="00C86180" w:rsidRPr="00C86180" w:rsidRDefault="00C8618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552" w:type="dxa"/>
          </w:tcPr>
          <w:p w14:paraId="00B91158" w14:textId="3A461ECC" w:rsidR="00C86180" w:rsidRPr="00281D90" w:rsidRDefault="00C8618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Valilik formlarının kullanılmasını ve talimatlarının uygulanmasını takip etmek</w:t>
            </w:r>
            <w:r w:rsidR="00ED76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56DB13AA" w14:textId="662DE90E" w:rsidR="00C86180" w:rsidRDefault="00790690">
            <w:r>
              <w:t xml:space="preserve">Görev Dağılım </w:t>
            </w:r>
            <w:proofErr w:type="spellStart"/>
            <w:r>
              <w:t>Formu’nun</w:t>
            </w:r>
            <w:proofErr w:type="spellEnd"/>
            <w:r>
              <w:t xml:space="preserve"> doldurulması </w:t>
            </w:r>
            <w:r w:rsidR="00F51B40">
              <w:t xml:space="preserve">istenilmiş olup belirlenen tarihe kadar beklenen tüm geri dönüşler alınmıştır. </w:t>
            </w:r>
            <w:r>
              <w:t>İYY dahil diğer talimatlar duyurulmuş olup başarılı bir şekilde uygulanmaktadır.</w:t>
            </w:r>
          </w:p>
        </w:tc>
        <w:tc>
          <w:tcPr>
            <w:tcW w:w="1985" w:type="dxa"/>
          </w:tcPr>
          <w:p w14:paraId="2D8E5187" w14:textId="77777777" w:rsidR="00C86180" w:rsidRDefault="00C86180"/>
        </w:tc>
        <w:tc>
          <w:tcPr>
            <w:tcW w:w="1417" w:type="dxa"/>
          </w:tcPr>
          <w:p w14:paraId="318002DB" w14:textId="77777777" w:rsidR="00F51B40" w:rsidRDefault="00F51B40" w:rsidP="00F51B40">
            <w:pPr>
              <w:jc w:val="center"/>
            </w:pPr>
          </w:p>
          <w:p w14:paraId="1E36558F" w14:textId="77777777" w:rsidR="00F51B40" w:rsidRDefault="00F51B40" w:rsidP="00F51B40">
            <w:pPr>
              <w:jc w:val="center"/>
            </w:pPr>
          </w:p>
          <w:p w14:paraId="48B3172F" w14:textId="77777777" w:rsidR="00F51B40" w:rsidRDefault="00F51B40" w:rsidP="00F51B40">
            <w:pPr>
              <w:jc w:val="center"/>
            </w:pPr>
          </w:p>
          <w:p w14:paraId="589ADF8B" w14:textId="77777777" w:rsidR="00F51B40" w:rsidRDefault="00F51B40" w:rsidP="00F51B40">
            <w:pPr>
              <w:jc w:val="center"/>
            </w:pPr>
          </w:p>
          <w:p w14:paraId="47DA7525" w14:textId="198D30EE" w:rsidR="00C86180" w:rsidRDefault="00F51B40" w:rsidP="00F51B40">
            <w:pPr>
              <w:jc w:val="center"/>
            </w:pPr>
            <w:r>
              <w:t>Valilik</w:t>
            </w:r>
          </w:p>
        </w:tc>
        <w:tc>
          <w:tcPr>
            <w:tcW w:w="1276" w:type="dxa"/>
          </w:tcPr>
          <w:p w14:paraId="22CCE2C3" w14:textId="77777777" w:rsidR="00C86180" w:rsidRDefault="00C86180"/>
        </w:tc>
      </w:tr>
      <w:tr w:rsidR="00C86180" w14:paraId="07F9C673" w14:textId="77777777" w:rsidTr="00C86180">
        <w:trPr>
          <w:trHeight w:val="1984"/>
        </w:trPr>
        <w:tc>
          <w:tcPr>
            <w:tcW w:w="567" w:type="dxa"/>
          </w:tcPr>
          <w:p w14:paraId="3749DC99" w14:textId="77777777" w:rsidR="00C86180" w:rsidRDefault="00C86180" w:rsidP="00281D90">
            <w:pPr>
              <w:jc w:val="center"/>
            </w:pPr>
          </w:p>
          <w:p w14:paraId="5C82D739" w14:textId="77777777" w:rsidR="00C86180" w:rsidRDefault="00C86180" w:rsidP="00281D90">
            <w:pPr>
              <w:jc w:val="center"/>
            </w:pPr>
          </w:p>
          <w:p w14:paraId="43F586DE" w14:textId="77777777" w:rsidR="00C86180" w:rsidRDefault="00C86180" w:rsidP="00281D90">
            <w:pPr>
              <w:jc w:val="center"/>
            </w:pPr>
          </w:p>
          <w:p w14:paraId="7E31E8E5" w14:textId="22878492" w:rsidR="00C86180" w:rsidRPr="00C86180" w:rsidRDefault="00C8618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552" w:type="dxa"/>
          </w:tcPr>
          <w:p w14:paraId="5BC09B57" w14:textId="2F18418A" w:rsidR="00C86180" w:rsidRDefault="00C8618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Liyakatli personel istihdamı sağlamak. Ayrıca personele idari işlemler ile bilgisayar okuryazarlığı konusunda bilgi ve tecrübe kazandırmak</w:t>
            </w:r>
            <w:r w:rsidR="00ED76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07144614" w14:textId="7998ED61" w:rsidR="00C86180" w:rsidRDefault="00F51B40">
            <w:r>
              <w:t xml:space="preserve">Personel istihdamı için Bakanlıkla başarılı bir şekilde irtibat kurulmuş olup </w:t>
            </w:r>
            <w:r>
              <w:t>mülakatla</w:t>
            </w:r>
            <w:r>
              <w:t>r Sınav Komisyonunca takvim planına uygun gerçekleştirilmiştir. İdari işlemler ve bilgisayar okuryazarlığı konusunda ISO belgeleri ile tecrübeli personellerin bilgi paylaşımıyla personellerin bilgi düzeyi artırılmıştır.</w:t>
            </w:r>
          </w:p>
        </w:tc>
        <w:tc>
          <w:tcPr>
            <w:tcW w:w="1985" w:type="dxa"/>
          </w:tcPr>
          <w:p w14:paraId="2FD12F34" w14:textId="77777777" w:rsidR="00C86180" w:rsidRDefault="00C86180"/>
        </w:tc>
        <w:tc>
          <w:tcPr>
            <w:tcW w:w="1417" w:type="dxa"/>
          </w:tcPr>
          <w:p w14:paraId="421DA29E" w14:textId="77777777" w:rsidR="00F51B40" w:rsidRDefault="00F51B40" w:rsidP="00F51B40">
            <w:pPr>
              <w:jc w:val="center"/>
            </w:pPr>
          </w:p>
          <w:p w14:paraId="0B37B35A" w14:textId="77777777" w:rsidR="00F51B40" w:rsidRDefault="00F51B40" w:rsidP="00F51B40">
            <w:pPr>
              <w:jc w:val="center"/>
            </w:pPr>
          </w:p>
          <w:p w14:paraId="540088FB" w14:textId="77777777" w:rsidR="00F51B40" w:rsidRDefault="00F51B40" w:rsidP="00F51B40">
            <w:pPr>
              <w:jc w:val="center"/>
            </w:pPr>
          </w:p>
          <w:p w14:paraId="4ADFBADA" w14:textId="77777777" w:rsidR="00F51B40" w:rsidRDefault="00F51B40" w:rsidP="00F51B40">
            <w:pPr>
              <w:jc w:val="center"/>
            </w:pPr>
          </w:p>
          <w:p w14:paraId="783F46B7" w14:textId="77777777" w:rsidR="00F51B40" w:rsidRDefault="00F51B40" w:rsidP="00F51B40">
            <w:pPr>
              <w:jc w:val="center"/>
            </w:pPr>
          </w:p>
          <w:p w14:paraId="511DD5A2" w14:textId="77777777" w:rsidR="00F51B40" w:rsidRDefault="00F51B40" w:rsidP="00F51B40">
            <w:pPr>
              <w:jc w:val="center"/>
            </w:pPr>
          </w:p>
          <w:p w14:paraId="070CB1BD" w14:textId="2E88CC99" w:rsidR="00C86180" w:rsidRDefault="00F51B40" w:rsidP="00F51B40">
            <w:pPr>
              <w:jc w:val="center"/>
            </w:pPr>
            <w:r>
              <w:t>Valilik</w:t>
            </w:r>
          </w:p>
        </w:tc>
        <w:tc>
          <w:tcPr>
            <w:tcW w:w="1276" w:type="dxa"/>
          </w:tcPr>
          <w:p w14:paraId="0D0B5CF4" w14:textId="77777777" w:rsidR="00C86180" w:rsidRDefault="00C86180"/>
        </w:tc>
      </w:tr>
    </w:tbl>
    <w:p w14:paraId="043D1C6B" w14:textId="77777777" w:rsidR="00457602" w:rsidRDefault="00457602"/>
    <w:sectPr w:rsidR="004576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3084" w14:textId="77777777" w:rsidR="00F37B80" w:rsidRDefault="00F37B80" w:rsidP="00281D90">
      <w:pPr>
        <w:spacing w:after="0" w:line="240" w:lineRule="auto"/>
      </w:pPr>
      <w:r>
        <w:separator/>
      </w:r>
    </w:p>
  </w:endnote>
  <w:endnote w:type="continuationSeparator" w:id="0">
    <w:p w14:paraId="4C2AE3B1" w14:textId="77777777" w:rsidR="00F37B80" w:rsidRDefault="00F37B80" w:rsidP="0028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4111"/>
      <w:gridCol w:w="2835"/>
      <w:gridCol w:w="3544"/>
    </w:tblGrid>
    <w:tr w:rsidR="00281D90" w14:paraId="1FB6B430" w14:textId="77777777" w:rsidTr="00DA18D0">
      <w:trPr>
        <w:trHeight w:val="699"/>
      </w:trPr>
      <w:tc>
        <w:tcPr>
          <w:tcW w:w="4111" w:type="dxa"/>
        </w:tcPr>
        <w:p w14:paraId="2AA8EC64" w14:textId="77777777" w:rsidR="00281D90" w:rsidRP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81D90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7FB1288F" w14:textId="09E72C7D" w:rsidR="00281D90" w:rsidRDefault="00281D90" w:rsidP="00281D90">
          <w:pPr>
            <w:jc w:val="center"/>
          </w:pPr>
          <w:r w:rsidRPr="00281D90">
            <w:rPr>
              <w:rFonts w:ascii="Times New Roman" w:hAnsi="Times New Roman" w:cs="Times New Roman"/>
              <w:sz w:val="24"/>
            </w:rPr>
            <w:t>Kaliteli Yönetim sistemi Temsilcisi</w:t>
          </w:r>
        </w:p>
      </w:tc>
      <w:tc>
        <w:tcPr>
          <w:tcW w:w="2835" w:type="dxa"/>
        </w:tcPr>
        <w:p w14:paraId="4A6E013E" w14:textId="2BCDB486" w:rsidR="00281D90" w:rsidRDefault="00281D90" w:rsidP="00281D90">
          <w:r>
            <w:rPr>
              <w:noProof/>
            </w:rPr>
            <w:drawing>
              <wp:inline distT="0" distB="0" distL="0" distR="0" wp14:anchorId="0D9343C3" wp14:editId="23C97470">
                <wp:extent cx="1696720" cy="409575"/>
                <wp:effectExtent l="0" t="0" r="0" b="9525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655" cy="414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4291D270" w14:textId="77777777" w:rsidR="00281D90" w:rsidRP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81D90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  <w:p w14:paraId="793274C5" w14:textId="6F42D8F8" w:rsidR="00281D90" w:rsidRDefault="00281D90" w:rsidP="00281D90">
          <w:pPr>
            <w:jc w:val="center"/>
          </w:pPr>
          <w:r w:rsidRPr="00281D90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</w:tc>
    </w:tr>
  </w:tbl>
  <w:p w14:paraId="43505880" w14:textId="77777777" w:rsidR="00281D90" w:rsidRDefault="00281D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86316" w14:textId="77777777" w:rsidR="00F37B80" w:rsidRDefault="00F37B80" w:rsidP="00281D90">
      <w:pPr>
        <w:spacing w:after="0" w:line="240" w:lineRule="auto"/>
      </w:pPr>
      <w:r>
        <w:separator/>
      </w:r>
    </w:p>
  </w:footnote>
  <w:footnote w:type="continuationSeparator" w:id="0">
    <w:p w14:paraId="3E76EB1F" w14:textId="77777777" w:rsidR="00F37B80" w:rsidRDefault="00F37B80" w:rsidP="0028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82" w:type="dxa"/>
      <w:tblInd w:w="-289" w:type="dxa"/>
      <w:tblLook w:val="04A0" w:firstRow="1" w:lastRow="0" w:firstColumn="1" w:lastColumn="0" w:noHBand="0" w:noVBand="1"/>
    </w:tblPr>
    <w:tblGrid>
      <w:gridCol w:w="2496"/>
      <w:gridCol w:w="4294"/>
      <w:gridCol w:w="2992"/>
    </w:tblGrid>
    <w:tr w:rsidR="00281D90" w14:paraId="0692794C" w14:textId="77777777" w:rsidTr="00281D90">
      <w:trPr>
        <w:trHeight w:val="292"/>
      </w:trPr>
      <w:tc>
        <w:tcPr>
          <w:tcW w:w="2411" w:type="dxa"/>
          <w:vMerge w:val="restart"/>
        </w:tcPr>
        <w:p w14:paraId="209B3E70" w14:textId="77777777" w:rsidR="00281D90" w:rsidRDefault="00281D90" w:rsidP="00281D90">
          <w:r w:rsidRPr="00C24707">
            <w:rPr>
              <w:noProof/>
            </w:rPr>
            <w:drawing>
              <wp:inline distT="0" distB="0" distL="0" distR="0" wp14:anchorId="320DC525" wp14:editId="1C654B08">
                <wp:extent cx="1447837" cy="1151907"/>
                <wp:effectExtent l="0" t="0" r="0" b="0"/>
                <wp:docPr id="3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056" cy="11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vMerge w:val="restart"/>
        </w:tcPr>
        <w:p w14:paraId="7EB7163E" w14:textId="77777777" w:rsid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0DD3445" w14:textId="77777777" w:rsid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12B1CB2" w14:textId="77777777" w:rsid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b/>
              <w:sz w:val="24"/>
              <w:szCs w:val="24"/>
            </w:rPr>
            <w:t xml:space="preserve">HEDEFLER VE AKSİYON </w:t>
          </w:r>
        </w:p>
        <w:p w14:paraId="7DF8CC80" w14:textId="77777777" w:rsidR="00281D90" w:rsidRDefault="00281D90" w:rsidP="00281D90">
          <w:pPr>
            <w:jc w:val="center"/>
          </w:pPr>
          <w:r w:rsidRPr="00C5161E">
            <w:rPr>
              <w:rFonts w:ascii="Times New Roman" w:hAnsi="Times New Roman" w:cs="Times New Roman"/>
              <w:b/>
              <w:sz w:val="24"/>
              <w:szCs w:val="24"/>
            </w:rPr>
            <w:t>PLANI</w:t>
          </w:r>
        </w:p>
      </w:tc>
      <w:tc>
        <w:tcPr>
          <w:tcW w:w="3024" w:type="dxa"/>
        </w:tcPr>
        <w:p w14:paraId="4CCA43A9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Dök No: PL-01</w:t>
          </w:r>
        </w:p>
      </w:tc>
    </w:tr>
    <w:tr w:rsidR="00281D90" w14:paraId="6EEB93CE" w14:textId="77777777" w:rsidTr="00281D90">
      <w:trPr>
        <w:trHeight w:val="337"/>
      </w:trPr>
      <w:tc>
        <w:tcPr>
          <w:tcW w:w="2411" w:type="dxa"/>
          <w:vMerge/>
        </w:tcPr>
        <w:p w14:paraId="3C44165A" w14:textId="77777777" w:rsidR="00281D90" w:rsidRPr="00C24707" w:rsidRDefault="00281D90" w:rsidP="00281D90">
          <w:pPr>
            <w:rPr>
              <w:noProof/>
            </w:rPr>
          </w:pPr>
        </w:p>
      </w:tc>
      <w:tc>
        <w:tcPr>
          <w:tcW w:w="4347" w:type="dxa"/>
          <w:vMerge/>
        </w:tcPr>
        <w:p w14:paraId="1B1A47F3" w14:textId="77777777" w:rsidR="00281D90" w:rsidRPr="00C5161E" w:rsidRDefault="00281D90" w:rsidP="00281D9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24" w:type="dxa"/>
        </w:tcPr>
        <w:p w14:paraId="5A46F32B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281D90" w14:paraId="07A37FAE" w14:textId="77777777" w:rsidTr="00281D90">
      <w:trPr>
        <w:trHeight w:val="430"/>
      </w:trPr>
      <w:tc>
        <w:tcPr>
          <w:tcW w:w="2411" w:type="dxa"/>
          <w:vMerge/>
        </w:tcPr>
        <w:p w14:paraId="5E924836" w14:textId="77777777" w:rsidR="00281D90" w:rsidRPr="00C24707" w:rsidRDefault="00281D90" w:rsidP="00281D90">
          <w:pPr>
            <w:rPr>
              <w:noProof/>
            </w:rPr>
          </w:pPr>
        </w:p>
      </w:tc>
      <w:tc>
        <w:tcPr>
          <w:tcW w:w="4347" w:type="dxa"/>
          <w:vMerge/>
        </w:tcPr>
        <w:p w14:paraId="2CE91B8E" w14:textId="77777777" w:rsidR="00281D90" w:rsidRPr="00C5161E" w:rsidRDefault="00281D90" w:rsidP="00281D9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24" w:type="dxa"/>
        </w:tcPr>
        <w:p w14:paraId="05D2EB8F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281D90" w14:paraId="5F5398FF" w14:textId="77777777" w:rsidTr="00281D90">
      <w:trPr>
        <w:trHeight w:val="373"/>
      </w:trPr>
      <w:tc>
        <w:tcPr>
          <w:tcW w:w="2411" w:type="dxa"/>
          <w:vMerge/>
        </w:tcPr>
        <w:p w14:paraId="2665E891" w14:textId="77777777" w:rsidR="00281D90" w:rsidRPr="00C24707" w:rsidRDefault="00281D90" w:rsidP="00281D90">
          <w:pPr>
            <w:rPr>
              <w:noProof/>
            </w:rPr>
          </w:pPr>
        </w:p>
      </w:tc>
      <w:tc>
        <w:tcPr>
          <w:tcW w:w="4347" w:type="dxa"/>
          <w:vMerge/>
        </w:tcPr>
        <w:p w14:paraId="2E97B88D" w14:textId="77777777" w:rsidR="00281D90" w:rsidRPr="00C5161E" w:rsidRDefault="00281D90" w:rsidP="00281D9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24" w:type="dxa"/>
        </w:tcPr>
        <w:p w14:paraId="0D8FC3B4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281D90" w14:paraId="157E8700" w14:textId="77777777" w:rsidTr="00281D90">
      <w:trPr>
        <w:trHeight w:val="393"/>
      </w:trPr>
      <w:tc>
        <w:tcPr>
          <w:tcW w:w="2411" w:type="dxa"/>
          <w:vMerge/>
        </w:tcPr>
        <w:p w14:paraId="252148DA" w14:textId="77777777" w:rsidR="00281D90" w:rsidRPr="00C24707" w:rsidRDefault="00281D90" w:rsidP="00281D90">
          <w:pPr>
            <w:rPr>
              <w:noProof/>
            </w:rPr>
          </w:pPr>
        </w:p>
      </w:tc>
      <w:tc>
        <w:tcPr>
          <w:tcW w:w="4347" w:type="dxa"/>
          <w:vMerge/>
        </w:tcPr>
        <w:p w14:paraId="08F4A159" w14:textId="77777777" w:rsidR="00281D90" w:rsidRPr="00C5161E" w:rsidRDefault="00281D90" w:rsidP="00281D9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24" w:type="dxa"/>
        </w:tcPr>
        <w:p w14:paraId="2BDE981E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7E509AAD" w14:textId="3106CB01" w:rsidR="00281D90" w:rsidRPr="00281D90" w:rsidRDefault="00281D90" w:rsidP="00281D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6"/>
    <w:rsid w:val="00061256"/>
    <w:rsid w:val="000C476C"/>
    <w:rsid w:val="000F0E65"/>
    <w:rsid w:val="00281D90"/>
    <w:rsid w:val="00457602"/>
    <w:rsid w:val="0046194A"/>
    <w:rsid w:val="00740C84"/>
    <w:rsid w:val="00770D16"/>
    <w:rsid w:val="00790690"/>
    <w:rsid w:val="00983475"/>
    <w:rsid w:val="00A857CF"/>
    <w:rsid w:val="00C86180"/>
    <w:rsid w:val="00DA18D0"/>
    <w:rsid w:val="00DE0323"/>
    <w:rsid w:val="00ED7680"/>
    <w:rsid w:val="00F37B80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1DB3"/>
  <w15:chartTrackingRefBased/>
  <w15:docId w15:val="{F0A816AE-8395-4F0C-A47E-99D8915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1D90"/>
  </w:style>
  <w:style w:type="paragraph" w:styleId="AltBilgi">
    <w:name w:val="footer"/>
    <w:basedOn w:val="Normal"/>
    <w:link w:val="AltBilgiChar"/>
    <w:uiPriority w:val="99"/>
    <w:unhideWhenUsed/>
    <w:rsid w:val="0028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9</cp:revision>
  <dcterms:created xsi:type="dcterms:W3CDTF">2024-12-26T12:43:00Z</dcterms:created>
  <dcterms:modified xsi:type="dcterms:W3CDTF">2025-06-03T06:35:00Z</dcterms:modified>
</cp:coreProperties>
</file>